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  <w:jc w:val="center"/>
      </w:pPr>
      <w:r>
        <w:rPr>
          <w:b/>
          <w:i w:val="0"/>
          <w:color w:val="1F4E79"/>
          <w:sz w:val="34"/>
        </w:rPr>
        <w:t>Unit Rubric: Carry the One</w:t>
      </w:r>
    </w:p>
    <w:p>
      <w:pPr>
        <w:spacing w:after="160" w:before="0"/>
        <w:jc w:val="center"/>
      </w:pPr>
      <w:r>
        <w:rPr>
          <w:b w:val="0"/>
          <w:i/>
          <w:color w:val="666666"/>
          <w:sz w:val="20"/>
        </w:rPr>
        <w:t>Grade 5/6 Mathematics  -  Carry the One: Adding with Regrouping</w:t>
      </w:r>
    </w:p>
    <w:p>
      <w:pPr>
        <w:spacing w:after="120" w:before="0"/>
      </w:pPr>
      <w:r>
        <w:rPr>
          <w:b w:val="0"/>
          <w:i/>
          <w:color w:val="666666"/>
          <w:sz w:val="21"/>
        </w:rPr>
        <w:t>Assessed on the End of Unit Concepts Check, Super Teacher worksheets, and observation. Tied to the BC Mathematics curricular competencies.</w:t>
      </w:r>
    </w:p>
    <w:p>
      <w:pPr>
        <w:spacing w:after="160" w:before="0"/>
      </w:pPr>
      <w:r>
        <w:rPr>
          <w:b w:val="0"/>
          <w:i w:val="0"/>
          <w:sz w:val="22"/>
        </w:rPr>
        <w:t>Name: ____________________________     Grade (circle):   5    6</w:t>
      </w:r>
    </w:p>
    <w:tbl>
      <w:tblPr>
        <w:tblW w:type="auto" w:w="0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ayout w:type="fixed"/>
        <w:tblLook w:firstColumn="1" w:firstRow="1" w:lastColumn="0" w:lastRow="0" w:noHBand="0" w:noVBand="1" w:val="04A0"/>
      </w:tblPr>
      <w:tblGrid>
        <w:gridCol w:w="2304"/>
        <w:gridCol w:w="2016"/>
        <w:gridCol w:w="2160"/>
        <w:gridCol w:w="2520"/>
        <w:gridCol w:w="2232"/>
      </w:tblGrid>
      <w:tr>
        <w:tc>
          <w:tcPr>
            <w:tcW w:type="dxa" w:w="2304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Criteria</w:t>
            </w:r>
          </w:p>
        </w:tc>
        <w:tc>
          <w:tcPr>
            <w:tcW w:type="dxa" w:w="2016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Emerging</w:t>
            </w:r>
          </w:p>
        </w:tc>
        <w:tc>
          <w:tcPr>
            <w:tcW w:type="dxa" w:w="2160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Developing</w:t>
            </w:r>
          </w:p>
        </w:tc>
        <w:tc>
          <w:tcPr>
            <w:tcW w:type="dxa" w:w="2520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Proficient</w:t>
            </w:r>
          </w:p>
        </w:tc>
        <w:tc>
          <w:tcPr>
            <w:tcW w:type="dxa" w:w="2232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Extending</w:t>
            </w:r>
          </w:p>
        </w:tc>
      </w:tr>
      <w:tr>
        <w:tc>
          <w:tcPr>
            <w:tcW w:type="dxa" w:w="2304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Place value and trading</w:t>
            </w:r>
          </w:p>
        </w:tc>
        <w:tc>
          <w:tcPr>
            <w:tcW w:type="dxa" w:w="201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Needs help to trade 10 ones.</w:t>
            </w:r>
          </w:p>
        </w:tc>
        <w:tc>
          <w:tcPr>
            <w:tcW w:type="dxa" w:w="216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Trades 10 ones for 1 ten with blocks.</w:t>
            </w:r>
          </w:p>
        </w:tc>
        <w:tc>
          <w:tcPr>
            <w:tcW w:type="dxa" w:w="252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Trades ones and tens confidently, with or without blocks.</w:t>
            </w:r>
          </w:p>
        </w:tc>
        <w:tc>
          <w:tcPr>
            <w:tcW w:type="dxa" w:w="223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Explains trading in any column, including decimals.</w:t>
            </w:r>
          </w:p>
        </w:tc>
      </w:tr>
      <w:tr>
        <w:tc>
          <w:tcPr>
            <w:tcW w:type="dxa" w:w="2304"/>
            <w:shd w:val="clear" w:color="auto" w:fill="F2F6FB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Accuracy with carrying</w:t>
            </w:r>
          </w:p>
        </w:tc>
        <w:tc>
          <w:tcPr>
            <w:tcW w:type="dxa" w:w="2016"/>
            <w:shd w:val="clear" w:color="auto" w:fill="F2F6FB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Frequent carrying errors.</w:t>
            </w:r>
          </w:p>
        </w:tc>
        <w:tc>
          <w:tcPr>
            <w:tcW w:type="dxa" w:w="2160"/>
            <w:shd w:val="clear" w:color="auto" w:fill="F2F6FB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Accurate with 2-digit sums.</w:t>
            </w:r>
          </w:p>
        </w:tc>
        <w:tc>
          <w:tcPr>
            <w:tcW w:type="dxa" w:w="2520"/>
            <w:shd w:val="clear" w:color="auto" w:fill="F2F6FB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Accurate with 3-digit sums, carrying twice.</w:t>
            </w:r>
          </w:p>
        </w:tc>
        <w:tc>
          <w:tcPr>
            <w:tcW w:type="dxa" w:w="2232"/>
            <w:shd w:val="clear" w:color="auto" w:fill="F2F6FB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Accurate with larger numbers (Gr 5) or decimals (Gr 6).</w:t>
            </w:r>
          </w:p>
        </w:tc>
      </w:tr>
      <w:tr>
        <w:tc>
          <w:tcPr>
            <w:tcW w:type="dxa" w:w="2304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Estimating and checking</w:t>
            </w:r>
          </w:p>
        </w:tc>
        <w:tc>
          <w:tcPr>
            <w:tcW w:type="dxa" w:w="201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Does not estimate.</w:t>
            </w:r>
          </w:p>
        </w:tc>
        <w:tc>
          <w:tcPr>
            <w:tcW w:type="dxa" w:w="216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Estimates when prompted.</w:t>
            </w:r>
          </w:p>
        </w:tc>
        <w:tc>
          <w:tcPr>
            <w:tcW w:type="dxa" w:w="252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Estimates first and uses it to check.</w:t>
            </w:r>
          </w:p>
        </w:tc>
        <w:tc>
          <w:tcPr>
            <w:tcW w:type="dxa" w:w="223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Uses estimates to catch and fix own errors.</w:t>
            </w:r>
          </w:p>
        </w:tc>
      </w:tr>
      <w:tr>
        <w:tc>
          <w:tcPr>
            <w:tcW w:type="dxa" w:w="2304"/>
            <w:shd w:val="clear" w:color="auto" w:fill="F2F6FB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Representing</w:t>
            </w:r>
          </w:p>
        </w:tc>
        <w:tc>
          <w:tcPr>
            <w:tcW w:type="dxa" w:w="2016"/>
            <w:shd w:val="clear" w:color="auto" w:fill="F2F6FB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One representation only.</w:t>
            </w:r>
          </w:p>
        </w:tc>
        <w:tc>
          <w:tcPr>
            <w:tcW w:type="dxa" w:w="2160"/>
            <w:shd w:val="clear" w:color="auto" w:fill="F2F6FB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Uses blocks or drawings.</w:t>
            </w:r>
          </w:p>
        </w:tc>
        <w:tc>
          <w:tcPr>
            <w:tcW w:type="dxa" w:w="2520"/>
            <w:shd w:val="clear" w:color="auto" w:fill="F2F6FB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Connects blocks, drawings, and the written method.</w:t>
            </w:r>
          </w:p>
        </w:tc>
        <w:tc>
          <w:tcPr>
            <w:tcW w:type="dxa" w:w="2232"/>
            <w:shd w:val="clear" w:color="auto" w:fill="F2F6FB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Chooses and explains the most useful model.</w:t>
            </w:r>
          </w:p>
        </w:tc>
      </w:tr>
      <w:tr>
        <w:tc>
          <w:tcPr>
            <w:tcW w:type="dxa" w:w="2304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Explaining the carry</w:t>
            </w:r>
          </w:p>
        </w:tc>
        <w:tc>
          <w:tcPr>
            <w:tcW w:type="dxa" w:w="201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Cannot say what the 1 means.</w:t>
            </w:r>
          </w:p>
        </w:tc>
        <w:tc>
          <w:tcPr>
            <w:tcW w:type="dxa" w:w="216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Says the 1 is carried.</w:t>
            </w:r>
          </w:p>
        </w:tc>
        <w:tc>
          <w:tcPr>
            <w:tcW w:type="dxa" w:w="252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Explains the carried 1 is one ten (or hundred).</w:t>
            </w:r>
          </w:p>
        </w:tc>
        <w:tc>
          <w:tcPr>
            <w:tcW w:type="dxa" w:w="223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Explains mistakes and why carrying works.</w:t>
            </w:r>
          </w:p>
        </w:tc>
      </w:tr>
      <w:tr>
        <w:tc>
          <w:tcPr>
            <w:tcW w:type="dxa" w:w="2304"/>
            <w:shd w:val="clear" w:color="auto" w:fill="F2F6FB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Problem solving</w:t>
            </w:r>
          </w:p>
        </w:tc>
        <w:tc>
          <w:tcPr>
            <w:tcW w:type="dxa" w:w="2016"/>
            <w:shd w:val="clear" w:color="auto" w:fill="F2F6FB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Needs help to start.</w:t>
            </w:r>
          </w:p>
        </w:tc>
        <w:tc>
          <w:tcPr>
            <w:tcW w:type="dxa" w:w="2160"/>
            <w:shd w:val="clear" w:color="auto" w:fill="F2F6FB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Solves with support.</w:t>
            </w:r>
          </w:p>
        </w:tc>
        <w:tc>
          <w:tcPr>
            <w:tcW w:type="dxa" w:w="2520"/>
            <w:shd w:val="clear" w:color="auto" w:fill="F2F6FB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Solves word problems that need regrouping.</w:t>
            </w:r>
          </w:p>
        </w:tc>
        <w:tc>
          <w:tcPr>
            <w:tcW w:type="dxa" w:w="2232"/>
            <w:shd w:val="clear" w:color="auto" w:fill="F2F6FB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Solves multi-step or money problems.</w:t>
            </w:r>
          </w:p>
        </w:tc>
      </w:tr>
    </w:tbl>
    <w:p>
      <w:pPr>
        <w:spacing w:after="120"/>
      </w:pPr>
    </w:p>
    <w:p>
      <w:pPr>
        <w:spacing w:after="60" w:before="0"/>
      </w:pPr>
      <w:r>
        <w:rPr>
          <w:b/>
          <w:i w:val="0"/>
          <w:sz w:val="22"/>
        </w:rPr>
        <w:t>Teacher comment: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